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9460" w14:textId="77777777" w:rsidR="00CD6A7D" w:rsidRDefault="00CD6A7D"/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462F94" w14:paraId="249DFC0F" w14:textId="77777777" w:rsidTr="00FC62B9">
        <w:trPr>
          <w:trHeight w:val="1257"/>
          <w:jc w:val="center"/>
        </w:trPr>
        <w:tc>
          <w:tcPr>
            <w:tcW w:w="4780" w:type="dxa"/>
            <w:hideMark/>
          </w:tcPr>
          <w:p w14:paraId="0260F986" w14:textId="77777777"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БашҠортостан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r>
              <w:rPr>
                <w:rFonts w:ascii="TimBashk" w:hAnsi="TimBashk"/>
                <w:caps/>
                <w:sz w:val="24"/>
                <w:szCs w:val="24"/>
              </w:rPr>
              <w:t>ы</w:t>
            </w:r>
          </w:p>
          <w:p w14:paraId="5D514A91" w14:textId="77777777" w:rsidR="00462F94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14:paraId="12A6820F" w14:textId="77777777" w:rsidR="00462F94" w:rsidRPr="007D4FCF" w:rsidRDefault="00462F94" w:rsidP="00FC62B9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14:paraId="18D83AB7" w14:textId="77777777"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14:paraId="3A5139F9" w14:textId="77777777" w:rsidR="00462F94" w:rsidRDefault="00462F94" w:rsidP="00FC62B9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9E7D6" w14:textId="77777777" w:rsidR="00462F94" w:rsidRDefault="00462F94" w:rsidP="00FC62B9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103D90" wp14:editId="4716A790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14:paraId="37AFE98A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14:paraId="729F2314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14:paraId="5E11AF33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14:paraId="677B17F5" w14:textId="77777777" w:rsidR="00462F94" w:rsidRDefault="00462F94" w:rsidP="00FC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14:paraId="78530970" w14:textId="77777777" w:rsidR="00462F94" w:rsidRDefault="00462F94" w:rsidP="00FC62B9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62F94" w:rsidRPr="00CD6A7D" w14:paraId="05387839" w14:textId="77777777" w:rsidTr="00CD6A7D">
        <w:trPr>
          <w:trHeight w:val="327"/>
          <w:jc w:val="center"/>
        </w:trPr>
        <w:tc>
          <w:tcPr>
            <w:tcW w:w="4780" w:type="dxa"/>
            <w:hideMark/>
          </w:tcPr>
          <w:p w14:paraId="5BDB945A" w14:textId="77777777" w:rsidR="00462F94" w:rsidRDefault="00462F94" w:rsidP="00FC6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36C9" w14:textId="77777777" w:rsidR="00462F94" w:rsidRDefault="00462F94" w:rsidP="00FC62B9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14:paraId="085D7AB0" w14:textId="77777777" w:rsidR="00462F94" w:rsidRDefault="00462F94" w:rsidP="00FC62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268E4B8" w14:textId="77777777" w:rsidR="00462F94" w:rsidRPr="00CD6A7D" w:rsidRDefault="00462F94" w:rsidP="00462F94">
      <w:pPr>
        <w:pBdr>
          <w:bottom w:val="thinThickThinMediumGap" w:sz="18" w:space="0" w:color="auto"/>
        </w:pBdr>
        <w:rPr>
          <w:sz w:val="18"/>
          <w:szCs w:val="18"/>
        </w:rPr>
      </w:pPr>
    </w:p>
    <w:p w14:paraId="6D1B41A8" w14:textId="77777777" w:rsidR="00462F94" w:rsidRPr="001B0200" w:rsidRDefault="00462F94" w:rsidP="00462F9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2"/>
        <w:gridCol w:w="4253"/>
      </w:tblGrid>
      <w:tr w:rsidR="00462F94" w14:paraId="79871113" w14:textId="77777777" w:rsidTr="00E211D5">
        <w:trPr>
          <w:jc w:val="center"/>
        </w:trPr>
        <w:tc>
          <w:tcPr>
            <w:tcW w:w="4236" w:type="dxa"/>
          </w:tcPr>
          <w:p w14:paraId="49B2A991" w14:textId="77777777" w:rsidR="00462F94" w:rsidRDefault="00462F94" w:rsidP="007F7D01">
            <w:pPr>
              <w:rPr>
                <w:sz w:val="24"/>
                <w:szCs w:val="24"/>
              </w:rPr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082" w:type="dxa"/>
          </w:tcPr>
          <w:p w14:paraId="661FE9ED" w14:textId="77777777"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5E2986" w14:textId="62102EDF" w:rsidR="00462F94" w:rsidRDefault="007F7D01" w:rsidP="00FC62B9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</w:t>
            </w:r>
            <w:r w:rsidR="00462F94">
              <w:t>Решение</w:t>
            </w:r>
          </w:p>
          <w:p w14:paraId="446BE042" w14:textId="77777777" w:rsidR="00462F94" w:rsidRDefault="00462F94" w:rsidP="00FC62B9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14:paraId="4DA70295" w14:textId="5DF13B59" w:rsidR="00E211D5" w:rsidRDefault="004215AD" w:rsidP="007F7D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февраль</w:t>
      </w:r>
      <w:r w:rsidR="00E211D5" w:rsidRPr="0093447A">
        <w:rPr>
          <w:color w:val="000000"/>
          <w:sz w:val="28"/>
          <w:szCs w:val="28"/>
        </w:rPr>
        <w:t xml:space="preserve"> 202</w:t>
      </w:r>
      <w:r w:rsidR="007F7D01">
        <w:rPr>
          <w:color w:val="000000"/>
          <w:sz w:val="28"/>
          <w:szCs w:val="28"/>
        </w:rPr>
        <w:t>3</w:t>
      </w:r>
      <w:r w:rsidR="00E211D5" w:rsidRPr="0093447A">
        <w:rPr>
          <w:color w:val="000000"/>
          <w:sz w:val="28"/>
          <w:szCs w:val="28"/>
        </w:rPr>
        <w:t xml:space="preserve"> й.        </w:t>
      </w:r>
      <w:r w:rsidR="007F7D01">
        <w:rPr>
          <w:color w:val="000000"/>
          <w:sz w:val="28"/>
          <w:szCs w:val="28"/>
        </w:rPr>
        <w:t xml:space="preserve">              </w:t>
      </w:r>
      <w:r w:rsidR="00E56B06">
        <w:rPr>
          <w:color w:val="000000"/>
          <w:sz w:val="28"/>
          <w:szCs w:val="28"/>
        </w:rPr>
        <w:t xml:space="preserve">     </w:t>
      </w:r>
      <w:r w:rsidR="007F7D0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7F7D01">
        <w:rPr>
          <w:color w:val="000000"/>
          <w:sz w:val="28"/>
          <w:szCs w:val="28"/>
        </w:rPr>
        <w:t xml:space="preserve">  </w:t>
      </w:r>
      <w:r w:rsidR="00E211D5" w:rsidRPr="0093447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41</w:t>
      </w:r>
      <w:r w:rsidR="00F43C01">
        <w:rPr>
          <w:color w:val="000000"/>
          <w:sz w:val="28"/>
          <w:szCs w:val="28"/>
        </w:rPr>
        <w:t>4</w:t>
      </w:r>
      <w:r w:rsidR="00E211D5" w:rsidRPr="0093447A">
        <w:rPr>
          <w:color w:val="000000"/>
          <w:sz w:val="28"/>
          <w:szCs w:val="28"/>
        </w:rPr>
        <w:t xml:space="preserve">     </w:t>
      </w:r>
      <w:r w:rsidR="007F7D01">
        <w:rPr>
          <w:color w:val="000000"/>
          <w:sz w:val="28"/>
          <w:szCs w:val="28"/>
        </w:rPr>
        <w:t xml:space="preserve">   </w:t>
      </w:r>
      <w:r w:rsidR="00E211D5" w:rsidRPr="0093447A">
        <w:rPr>
          <w:color w:val="000000"/>
          <w:sz w:val="28"/>
          <w:szCs w:val="28"/>
        </w:rPr>
        <w:t xml:space="preserve"> </w:t>
      </w:r>
      <w:r w:rsidR="00E56B06">
        <w:rPr>
          <w:color w:val="000000"/>
          <w:sz w:val="28"/>
          <w:szCs w:val="28"/>
        </w:rPr>
        <w:t xml:space="preserve"> </w:t>
      </w:r>
      <w:r w:rsidR="00E211D5" w:rsidRPr="0093447A">
        <w:rPr>
          <w:color w:val="000000"/>
          <w:sz w:val="28"/>
          <w:szCs w:val="28"/>
        </w:rPr>
        <w:t xml:space="preserve">    </w:t>
      </w:r>
      <w:r w:rsidR="00E56B06">
        <w:rPr>
          <w:color w:val="000000"/>
          <w:sz w:val="28"/>
          <w:szCs w:val="28"/>
        </w:rPr>
        <w:t xml:space="preserve">    </w:t>
      </w:r>
      <w:r w:rsidR="00E211D5" w:rsidRPr="009344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14 февраля </w:t>
      </w:r>
      <w:r w:rsidR="00911F00">
        <w:rPr>
          <w:color w:val="000000"/>
          <w:sz w:val="28"/>
          <w:szCs w:val="28"/>
        </w:rPr>
        <w:t>2023</w:t>
      </w:r>
      <w:r w:rsidR="00E211D5" w:rsidRPr="0093447A">
        <w:rPr>
          <w:color w:val="000000"/>
          <w:sz w:val="28"/>
          <w:szCs w:val="28"/>
        </w:rPr>
        <w:t xml:space="preserve"> г.</w:t>
      </w:r>
    </w:p>
    <w:p w14:paraId="5FB4E60F" w14:textId="77777777" w:rsidR="007F7D01" w:rsidRPr="00CD15D9" w:rsidRDefault="007F7D01" w:rsidP="001506D6">
      <w:pPr>
        <w:rPr>
          <w:b/>
          <w:sz w:val="28"/>
        </w:rPr>
      </w:pPr>
    </w:p>
    <w:p w14:paraId="314231A1" w14:textId="77777777" w:rsidR="00F43C01" w:rsidRDefault="00F43C01" w:rsidP="00F43C0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2A9">
        <w:rPr>
          <w:b/>
          <w:bCs/>
          <w:sz w:val="28"/>
          <w:szCs w:val="28"/>
        </w:rPr>
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предоставлении возможности расторжения договоров аренды без применения штрафных санкций</w:t>
      </w:r>
    </w:p>
    <w:p w14:paraId="5376AE9A" w14:textId="77777777" w:rsidR="00F43C01" w:rsidRPr="00DB130B" w:rsidRDefault="00F43C01" w:rsidP="00F43C01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151DDE" w14:textId="77777777" w:rsidR="00F43C01" w:rsidRDefault="00F43C01" w:rsidP="00F43C01">
      <w:pPr>
        <w:tabs>
          <w:tab w:val="left" w:pos="5480"/>
        </w:tabs>
        <w:ind w:firstLine="709"/>
        <w:jc w:val="both"/>
        <w:rPr>
          <w:sz w:val="28"/>
          <w:szCs w:val="28"/>
        </w:rPr>
      </w:pPr>
      <w:r w:rsidRPr="004E3010">
        <w:rPr>
          <w:sz w:val="28"/>
          <w:szCs w:val="28"/>
        </w:rPr>
        <w:t>В соответствии с Гражданским кодексом Российской Федерации, Федеральным закон</w:t>
      </w:r>
      <w:r>
        <w:rPr>
          <w:sz w:val="28"/>
          <w:szCs w:val="28"/>
        </w:rPr>
        <w:t>ом</w:t>
      </w:r>
      <w:r w:rsidRPr="004E301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района Иглинский район Республики Башкортостан,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пунктом 7 распоряжения</w:t>
      </w:r>
      <w:r w:rsidRPr="0017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Правительства Российской Федерации от 15.10.2022 № 3046-р, </w:t>
      </w:r>
      <w:r w:rsidRPr="00DB130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Ауструмский сельсовет </w:t>
      </w:r>
      <w:r w:rsidRPr="00DB130B">
        <w:rPr>
          <w:sz w:val="28"/>
          <w:szCs w:val="28"/>
        </w:rPr>
        <w:t xml:space="preserve">муниципального района Иглинский район Республики Башкортостан, </w:t>
      </w:r>
      <w:r w:rsidRPr="0016647B">
        <w:rPr>
          <w:b/>
          <w:sz w:val="28"/>
          <w:szCs w:val="28"/>
        </w:rPr>
        <w:t>РЕШИЛ</w:t>
      </w:r>
      <w:r w:rsidRPr="00DB130B">
        <w:rPr>
          <w:sz w:val="28"/>
          <w:szCs w:val="28"/>
        </w:rPr>
        <w:t>:</w:t>
      </w:r>
    </w:p>
    <w:p w14:paraId="442791E8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1. Администрация сельского поселения Ауструмский сельсовет муниципального района Иглинский район Республики Башкортостан</w:t>
      </w:r>
      <w:r w:rsidRPr="00653FE4">
        <w:rPr>
          <w:szCs w:val="30"/>
        </w:rPr>
        <w:t xml:space="preserve"> по договорам аренды </w:t>
      </w:r>
      <w:r>
        <w:rPr>
          <w:szCs w:val="30"/>
        </w:rPr>
        <w:t>муниципального</w:t>
      </w:r>
      <w:r w:rsidRPr="00653FE4">
        <w:rPr>
          <w:szCs w:val="30"/>
        </w:rPr>
        <w:t xml:space="preserve"> имущества, составляющего казну </w:t>
      </w:r>
      <w:r>
        <w:rPr>
          <w:szCs w:val="30"/>
        </w:rPr>
        <w:t xml:space="preserve">муниципального района Иглинский район </w:t>
      </w:r>
      <w:r w:rsidRPr="00653FE4">
        <w:rPr>
          <w:szCs w:val="30"/>
        </w:rPr>
        <w:t xml:space="preserve">Республики Башкортостан (в том числе земельных участков, находящихся в </w:t>
      </w:r>
      <w:r>
        <w:rPr>
          <w:szCs w:val="30"/>
        </w:rPr>
        <w:t xml:space="preserve">муниципальной собственности муниципального района Иглинский район </w:t>
      </w:r>
      <w:r w:rsidRPr="00653FE4">
        <w:rPr>
          <w:szCs w:val="30"/>
        </w:rPr>
        <w:t>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</w:t>
      </w:r>
      <w:r>
        <w:rPr>
          <w:szCs w:val="30"/>
        </w:rPr>
        <w:t>вает</w:t>
      </w:r>
      <w:r w:rsidRPr="00653FE4">
        <w:rPr>
          <w:szCs w:val="30"/>
        </w:rPr>
        <w:t>:</w:t>
      </w:r>
    </w:p>
    <w:p w14:paraId="3D155D54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7AA3681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б) предоставление возможности расторжения договоров аренды без применения штрафных санкций.</w:t>
      </w:r>
    </w:p>
    <w:p w14:paraId="57F9EEA5" w14:textId="77777777" w:rsidR="00F43C01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</w:p>
    <w:p w14:paraId="2A450C7B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2. Предоставление отсрочки уплаты арендной платы, указанной в подпункте «а» пункта 1 настоящего </w:t>
      </w:r>
      <w:r>
        <w:rPr>
          <w:szCs w:val="30"/>
        </w:rPr>
        <w:t>Порядка</w:t>
      </w:r>
      <w:r w:rsidRPr="00653FE4">
        <w:rPr>
          <w:szCs w:val="30"/>
        </w:rPr>
        <w:t>, осуществляется на следующих условиях:</w:t>
      </w:r>
    </w:p>
    <w:p w14:paraId="35FC8AAC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Cs w:val="30"/>
        </w:rPr>
        <w:t>Порядка</w:t>
      </w:r>
      <w:r w:rsidRPr="00653FE4">
        <w:rPr>
          <w:szCs w:val="30"/>
        </w:rPr>
        <w:t>;</w:t>
      </w:r>
    </w:p>
    <w:p w14:paraId="3460C6F8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арендатор </w:t>
      </w:r>
      <w:r w:rsidRPr="00AE07AA">
        <w:rPr>
          <w:szCs w:val="30"/>
        </w:rPr>
        <w:t>направляет арендодателю уведомление</w:t>
      </w:r>
      <w:r>
        <w:rPr>
          <w:szCs w:val="30"/>
        </w:rPr>
        <w:t xml:space="preserve"> </w:t>
      </w:r>
      <w:r w:rsidRPr="00653FE4">
        <w:rPr>
          <w:szCs w:val="30"/>
        </w:rPr>
        <w:t>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14:paraId="7FBDF3CD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Cs w:val="30"/>
        </w:rPr>
        <w:t>Порядка</w:t>
      </w:r>
      <w:r w:rsidRPr="00653FE4">
        <w:rPr>
          <w:szCs w:val="30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53F0C44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4EC64BDE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28596236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Cs w:val="30"/>
        </w:rPr>
        <w:t>Порядка</w:t>
      </w:r>
      <w:r w:rsidRPr="00653FE4">
        <w:rPr>
          <w:szCs w:val="30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8196DF0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529B4C21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>
        <w:rPr>
          <w:szCs w:val="30"/>
        </w:rPr>
        <w:t>Порядка</w:t>
      </w:r>
      <w:r w:rsidRPr="00653FE4">
        <w:rPr>
          <w:szCs w:val="30"/>
        </w:rPr>
        <w:t>, осуществляется на следующих условиях:</w:t>
      </w:r>
    </w:p>
    <w:p w14:paraId="2AC473D1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14:paraId="4D9BECFF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71DFC4D5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308F032F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4. </w:t>
      </w:r>
      <w:r>
        <w:rPr>
          <w:szCs w:val="30"/>
        </w:rPr>
        <w:t xml:space="preserve">Муниципальным </w:t>
      </w:r>
      <w:r w:rsidRPr="00653FE4">
        <w:rPr>
          <w:szCs w:val="30"/>
        </w:rPr>
        <w:t xml:space="preserve">предприятиям и </w:t>
      </w:r>
      <w:r>
        <w:rPr>
          <w:szCs w:val="30"/>
        </w:rPr>
        <w:t xml:space="preserve">муниципальным учреждениям </w:t>
      </w:r>
      <w:r w:rsidRPr="00653FE4">
        <w:rPr>
          <w:szCs w:val="30"/>
        </w:rPr>
        <w:t xml:space="preserve">по договорам аренды </w:t>
      </w:r>
      <w:r>
        <w:rPr>
          <w:szCs w:val="30"/>
        </w:rPr>
        <w:t>муниципального</w:t>
      </w:r>
      <w:r w:rsidRPr="00653FE4">
        <w:rPr>
          <w:szCs w:val="30"/>
        </w:rPr>
        <w:t xml:space="preserve"> имущества, закрепленного на праве хозяйственного ведения или на праве оперативного управления за </w:t>
      </w:r>
      <w:r>
        <w:rPr>
          <w:szCs w:val="30"/>
        </w:rPr>
        <w:t>муниципальными</w:t>
      </w:r>
      <w:r w:rsidRPr="00653FE4">
        <w:rPr>
          <w:szCs w:val="30"/>
        </w:rPr>
        <w:t xml:space="preserve"> предприятиями или на праве оперативного управления за </w:t>
      </w:r>
      <w:r>
        <w:rPr>
          <w:szCs w:val="30"/>
        </w:rPr>
        <w:t>муниципальными</w:t>
      </w:r>
      <w:r w:rsidRPr="00653FE4">
        <w:rPr>
          <w:szCs w:val="30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7979F9D0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771954D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б) предоставление возможности расторжения договоров аренды без применения штрафных санкций.</w:t>
      </w:r>
    </w:p>
    <w:p w14:paraId="3B7984D0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lastRenderedPageBreak/>
        <w:t xml:space="preserve">5. Предоставление отсрочки уплаты арендной платы, указанной в подпункте «а» пункта 4 настоящего </w:t>
      </w:r>
      <w:r>
        <w:rPr>
          <w:szCs w:val="30"/>
        </w:rPr>
        <w:t>Порядка</w:t>
      </w:r>
      <w:r w:rsidRPr="00653FE4">
        <w:rPr>
          <w:szCs w:val="30"/>
        </w:rPr>
        <w:t>, осуществляется на следующих условиях:</w:t>
      </w:r>
    </w:p>
    <w:p w14:paraId="3FE8F13C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szCs w:val="30"/>
        </w:rPr>
        <w:t>Порядка</w:t>
      </w:r>
      <w:r w:rsidRPr="00653FE4">
        <w:rPr>
          <w:szCs w:val="30"/>
        </w:rPr>
        <w:t>;</w:t>
      </w:r>
    </w:p>
    <w:p w14:paraId="667B642F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14:paraId="26BF53AA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>
        <w:rPr>
          <w:szCs w:val="30"/>
        </w:rPr>
        <w:t>Порядка</w:t>
      </w:r>
      <w:r w:rsidRPr="00653FE4">
        <w:rPr>
          <w:szCs w:val="30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4F96C83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FC4A991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6AA008E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>
        <w:rPr>
          <w:szCs w:val="30"/>
        </w:rPr>
        <w:t>Порядка</w:t>
      </w:r>
      <w:r w:rsidRPr="00653FE4">
        <w:rPr>
          <w:szCs w:val="30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2E44277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9D6CB3D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6. Расторжение договора аренды без применения штрафных санкций, указанное в подпункте «б» пункта 4 настоящего </w:t>
      </w:r>
      <w:r>
        <w:rPr>
          <w:szCs w:val="30"/>
        </w:rPr>
        <w:t>Порядка</w:t>
      </w:r>
      <w:r w:rsidRPr="00653FE4">
        <w:rPr>
          <w:szCs w:val="30"/>
        </w:rPr>
        <w:t>, осуществляется на следующих условиях:</w:t>
      </w:r>
    </w:p>
    <w:p w14:paraId="003FAE51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</w:t>
      </w:r>
      <w:r w:rsidRPr="00653FE4">
        <w:rPr>
          <w:szCs w:val="30"/>
        </w:rPr>
        <w:lastRenderedPageBreak/>
        <w:t>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14:paraId="260F1406" w14:textId="77777777" w:rsidR="00F43C01" w:rsidRPr="00653FE4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2B7FDF4F" w14:textId="77777777" w:rsidR="00F43C01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653FE4">
        <w:rPr>
          <w:szCs w:val="30"/>
        </w:rPr>
        <w:t>не применяются штрафы, проценты за пользование чужими денежными средствами или иные меры ответственности в связи</w:t>
      </w:r>
      <w:r>
        <w:rPr>
          <w:szCs w:val="30"/>
        </w:rPr>
        <w:t xml:space="preserve"> </w:t>
      </w:r>
      <w:r w:rsidRPr="00653FE4">
        <w:rPr>
          <w:szCs w:val="30"/>
        </w:rPr>
        <w:t>с расторжением договора аренды (в том числе в случаях, если такие меры предусмотрены договором аренды).</w:t>
      </w:r>
    </w:p>
    <w:p w14:paraId="63A6933E" w14:textId="77777777" w:rsidR="00F43C01" w:rsidRPr="00DB130B" w:rsidRDefault="00F43C01" w:rsidP="00F43C01">
      <w:pPr>
        <w:tabs>
          <w:tab w:val="left" w:pos="5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130B">
        <w:rPr>
          <w:sz w:val="28"/>
          <w:szCs w:val="28"/>
        </w:rPr>
        <w:t>. Настоящее решение подлежит официальному опубликованию.</w:t>
      </w:r>
    </w:p>
    <w:p w14:paraId="086B9E8C" w14:textId="77777777" w:rsidR="00F43C01" w:rsidRPr="00DB130B" w:rsidRDefault="00F43C01" w:rsidP="00F43C01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B130B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Танюкевич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DB130B">
        <w:rPr>
          <w:rFonts w:ascii="Times New Roman" w:hAnsi="Times New Roman"/>
          <w:sz w:val="28"/>
          <w:szCs w:val="28"/>
        </w:rPr>
        <w:t>).</w:t>
      </w:r>
    </w:p>
    <w:p w14:paraId="23AE1F5A" w14:textId="77777777" w:rsidR="00F43C01" w:rsidRPr="00DB130B" w:rsidRDefault="00F43C01" w:rsidP="00F43C01">
      <w:pPr>
        <w:tabs>
          <w:tab w:val="left" w:pos="5480"/>
        </w:tabs>
        <w:jc w:val="both"/>
        <w:rPr>
          <w:sz w:val="28"/>
          <w:szCs w:val="28"/>
        </w:rPr>
      </w:pPr>
    </w:p>
    <w:p w14:paraId="69F585E7" w14:textId="77777777" w:rsidR="00F43C01" w:rsidRPr="00DB130B" w:rsidRDefault="00F43C01" w:rsidP="00F43C01">
      <w:pPr>
        <w:tabs>
          <w:tab w:val="left" w:pos="5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М.А. </w:t>
      </w:r>
      <w:proofErr w:type="spellStart"/>
      <w:r>
        <w:rPr>
          <w:sz w:val="28"/>
          <w:szCs w:val="28"/>
        </w:rPr>
        <w:t>Пстыга</w:t>
      </w:r>
      <w:proofErr w:type="spellEnd"/>
    </w:p>
    <w:p w14:paraId="0B1ED054" w14:textId="77777777" w:rsidR="00F43C01" w:rsidRDefault="00F43C01" w:rsidP="00F43C0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30"/>
        </w:rPr>
      </w:pPr>
    </w:p>
    <w:p w14:paraId="382ADF16" w14:textId="77777777" w:rsidR="00F43C01" w:rsidRPr="00DB130B" w:rsidRDefault="00F43C01" w:rsidP="00F43C01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BD2E26" w14:textId="77777777" w:rsidR="00F43C01" w:rsidRDefault="00F43C01" w:rsidP="00F43C01">
      <w:pPr>
        <w:spacing w:line="288" w:lineRule="auto"/>
        <w:jc w:val="center"/>
      </w:pPr>
    </w:p>
    <w:p w14:paraId="1CAAD73F" w14:textId="77777777" w:rsidR="00D14C27" w:rsidRDefault="00D14C27" w:rsidP="001506D6">
      <w:pPr>
        <w:pStyle w:val="ad"/>
        <w:ind w:left="4956" w:firstLine="708"/>
        <w:jc w:val="both"/>
      </w:pPr>
    </w:p>
    <w:sectPr w:rsidR="00D14C27" w:rsidSect="00E26CE6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B"/>
    <w:rsid w:val="00007EBA"/>
    <w:rsid w:val="00050207"/>
    <w:rsid w:val="00053667"/>
    <w:rsid w:val="00094799"/>
    <w:rsid w:val="000A1DF4"/>
    <w:rsid w:val="000C7D70"/>
    <w:rsid w:val="001506D6"/>
    <w:rsid w:val="00154E9E"/>
    <w:rsid w:val="00216610"/>
    <w:rsid w:val="00230ECF"/>
    <w:rsid w:val="00237775"/>
    <w:rsid w:val="00267498"/>
    <w:rsid w:val="002676FE"/>
    <w:rsid w:val="002813D9"/>
    <w:rsid w:val="002962B5"/>
    <w:rsid w:val="003168F8"/>
    <w:rsid w:val="00316969"/>
    <w:rsid w:val="0034096B"/>
    <w:rsid w:val="00396AF6"/>
    <w:rsid w:val="003F0239"/>
    <w:rsid w:val="004133F9"/>
    <w:rsid w:val="004215AD"/>
    <w:rsid w:val="00462F94"/>
    <w:rsid w:val="004969FC"/>
    <w:rsid w:val="004B41EB"/>
    <w:rsid w:val="004F115D"/>
    <w:rsid w:val="005202D0"/>
    <w:rsid w:val="005355B2"/>
    <w:rsid w:val="0059341B"/>
    <w:rsid w:val="006A5B3F"/>
    <w:rsid w:val="006A63FB"/>
    <w:rsid w:val="006C1BFA"/>
    <w:rsid w:val="006D2CD0"/>
    <w:rsid w:val="006E6791"/>
    <w:rsid w:val="00762CCA"/>
    <w:rsid w:val="007F7D01"/>
    <w:rsid w:val="008263E4"/>
    <w:rsid w:val="008942A8"/>
    <w:rsid w:val="008B0D46"/>
    <w:rsid w:val="00911F00"/>
    <w:rsid w:val="00942E07"/>
    <w:rsid w:val="00995DCA"/>
    <w:rsid w:val="00A537A2"/>
    <w:rsid w:val="00AD51D4"/>
    <w:rsid w:val="00B26FAF"/>
    <w:rsid w:val="00BC378A"/>
    <w:rsid w:val="00C55DA5"/>
    <w:rsid w:val="00CD6A7D"/>
    <w:rsid w:val="00D14C27"/>
    <w:rsid w:val="00D90716"/>
    <w:rsid w:val="00DA10D4"/>
    <w:rsid w:val="00DD4745"/>
    <w:rsid w:val="00E211D5"/>
    <w:rsid w:val="00E26CE6"/>
    <w:rsid w:val="00E56B06"/>
    <w:rsid w:val="00F43C01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9B8D"/>
  <w15:docId w15:val="{58A4174B-4014-4268-B459-5815DB4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94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62F9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62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2F94"/>
    <w:rPr>
      <w:sz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9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2F94"/>
    <w:pPr>
      <w:spacing w:after="120"/>
    </w:pPr>
  </w:style>
  <w:style w:type="character" w:customStyle="1" w:styleId="a9">
    <w:name w:val="Основной текст Знак"/>
    <w:basedOn w:val="a0"/>
    <w:link w:val="a8"/>
    <w:rsid w:val="00462F94"/>
    <w:rPr>
      <w:sz w:val="30"/>
      <w:lang w:eastAsia="ru-RU"/>
    </w:rPr>
  </w:style>
  <w:style w:type="character" w:styleId="aa">
    <w:name w:val="Hyperlink"/>
    <w:basedOn w:val="a0"/>
    <w:uiPriority w:val="99"/>
    <w:rsid w:val="0046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F94"/>
  </w:style>
  <w:style w:type="character" w:customStyle="1" w:styleId="ab">
    <w:name w:val="Основной текст_"/>
    <w:basedOn w:val="a0"/>
    <w:link w:val="19"/>
    <w:rsid w:val="00462F9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b"/>
    <w:rsid w:val="00462F94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c">
    <w:name w:val="Основной текст + Полужирный"/>
    <w:basedOn w:val="a0"/>
    <w:rsid w:val="000A1DF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0A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2962B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2962B5"/>
    <w:rPr>
      <w:spacing w:val="1"/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CD6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6A7D"/>
    <w:rPr>
      <w:sz w:val="16"/>
      <w:szCs w:val="16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CD6A7D"/>
    <w:rPr>
      <w:rFonts w:ascii="Calibri" w:eastAsia="Calibri" w:hAnsi="Calibri"/>
      <w:sz w:val="22"/>
      <w:szCs w:val="22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CD6A7D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CD6A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506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06D6"/>
    <w:rPr>
      <w:sz w:val="16"/>
      <w:szCs w:val="16"/>
      <w:lang w:eastAsia="ru-RU"/>
    </w:rPr>
  </w:style>
  <w:style w:type="paragraph" w:customStyle="1" w:styleId="ConsPlusTitle">
    <w:name w:val="ConsPlusTitle"/>
    <w:rsid w:val="001506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7F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D5B1-CC66-4013-84A6-E39C632F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austrum@bk.ru</cp:lastModifiedBy>
  <cp:revision>3</cp:revision>
  <cp:lastPrinted>2023-03-09T04:25:00Z</cp:lastPrinted>
  <dcterms:created xsi:type="dcterms:W3CDTF">2023-03-09T04:29:00Z</dcterms:created>
  <dcterms:modified xsi:type="dcterms:W3CDTF">2023-03-09T04:30:00Z</dcterms:modified>
</cp:coreProperties>
</file>